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8BA3" w14:textId="7F8EB282" w:rsidR="006C3A6E" w:rsidRDefault="006C3A6E" w:rsidP="006C3A6E">
      <w:pPr>
        <w:spacing w:after="0" w:line="240" w:lineRule="auto"/>
        <w:jc w:val="center"/>
        <w:rPr>
          <w:rFonts w:ascii="Calibri" w:eastAsia="Times New Roman" w:hAnsi="Calibri" w:cs="Calibri"/>
          <w:b/>
          <w:bCs/>
          <w:color w:val="538135" w:themeColor="accent6" w:themeShade="BF"/>
          <w:sz w:val="32"/>
          <w:szCs w:val="32"/>
        </w:rPr>
      </w:pPr>
      <w:r w:rsidRPr="006C3A6E">
        <w:rPr>
          <w:rFonts w:ascii="Calibri" w:eastAsia="Times New Roman" w:hAnsi="Calibri" w:cs="Calibri"/>
          <w:b/>
          <w:bCs/>
          <w:color w:val="538135" w:themeColor="accent6" w:themeShade="BF"/>
          <w:sz w:val="32"/>
          <w:szCs w:val="32"/>
        </w:rPr>
        <w:t xml:space="preserve">Pratic’30 du </w:t>
      </w:r>
      <w:r w:rsidR="00BE7BCE">
        <w:rPr>
          <w:rFonts w:ascii="Calibri" w:eastAsia="Times New Roman" w:hAnsi="Calibri" w:cs="Calibri"/>
          <w:b/>
          <w:bCs/>
          <w:color w:val="538135" w:themeColor="accent6" w:themeShade="BF"/>
          <w:sz w:val="32"/>
          <w:szCs w:val="32"/>
        </w:rPr>
        <w:t>9 avril</w:t>
      </w:r>
      <w:r w:rsidRPr="006C3A6E">
        <w:rPr>
          <w:rFonts w:ascii="Calibri" w:eastAsia="Times New Roman" w:hAnsi="Calibri" w:cs="Calibri"/>
          <w:b/>
          <w:bCs/>
          <w:color w:val="538135" w:themeColor="accent6" w:themeShade="BF"/>
          <w:sz w:val="32"/>
          <w:szCs w:val="32"/>
        </w:rPr>
        <w:t xml:space="preserve"> 2024</w:t>
      </w:r>
    </w:p>
    <w:p w14:paraId="3F1B4071" w14:textId="77777777" w:rsidR="006C3A6E" w:rsidRPr="006C3A6E" w:rsidRDefault="006C3A6E" w:rsidP="006C3A6E">
      <w:pPr>
        <w:spacing w:after="0" w:line="240" w:lineRule="auto"/>
        <w:jc w:val="center"/>
        <w:rPr>
          <w:rFonts w:ascii="Calibri" w:eastAsia="Times New Roman" w:hAnsi="Calibri" w:cs="Calibri"/>
          <w:b/>
          <w:bCs/>
          <w:color w:val="538135" w:themeColor="accent6" w:themeShade="BF"/>
          <w:sz w:val="32"/>
          <w:szCs w:val="32"/>
        </w:rPr>
      </w:pPr>
    </w:p>
    <w:p w14:paraId="19BD831A" w14:textId="69329D33" w:rsidR="006C3A6E" w:rsidRPr="002B2B14" w:rsidRDefault="006C3A6E" w:rsidP="002B2B14">
      <w:pPr>
        <w:spacing w:after="0" w:line="240" w:lineRule="auto"/>
        <w:jc w:val="center"/>
        <w:rPr>
          <w:rFonts w:ascii="Calibri" w:eastAsia="Times New Roman" w:hAnsi="Calibri" w:cs="Calibri"/>
          <w:b/>
          <w:bCs/>
          <w:i/>
          <w:iCs/>
        </w:rPr>
      </w:pPr>
      <w:r w:rsidRPr="002B2B14">
        <w:rPr>
          <w:rFonts w:ascii="Calibri" w:eastAsia="Times New Roman" w:hAnsi="Calibri" w:cs="Calibri"/>
          <w:b/>
          <w:bCs/>
          <w:i/>
          <w:iCs/>
        </w:rPr>
        <w:t>Voici quelques informations sélectionnées pour les référents handicap, n’hésitez pas à les partager !</w:t>
      </w:r>
    </w:p>
    <w:p w14:paraId="165B3B63" w14:textId="77777777" w:rsidR="006C3A6E" w:rsidRPr="006C3A6E" w:rsidRDefault="006C3A6E" w:rsidP="006C3A6E">
      <w:pPr>
        <w:spacing w:after="0" w:line="240" w:lineRule="auto"/>
        <w:rPr>
          <w:rFonts w:ascii="Calibri" w:eastAsia="Times New Roman" w:hAnsi="Calibri" w:cs="Calibri"/>
        </w:rPr>
      </w:pPr>
    </w:p>
    <w:p w14:paraId="54D4EB25" w14:textId="571BE896" w:rsidR="007C036F" w:rsidRDefault="007C036F" w:rsidP="007C036F">
      <w:pPr>
        <w:numPr>
          <w:ilvl w:val="0"/>
          <w:numId w:val="11"/>
        </w:numPr>
        <w:spacing w:after="0" w:line="240" w:lineRule="auto"/>
        <w:rPr>
          <w:rFonts w:ascii="Calibri" w:eastAsia="Times New Roman" w:hAnsi="Calibri" w:cs="Times New Roman"/>
          <w:b/>
          <w:bCs/>
          <w:sz w:val="24"/>
          <w:szCs w:val="24"/>
        </w:rPr>
      </w:pPr>
      <w:r w:rsidRPr="007C036F">
        <w:rPr>
          <w:rFonts w:ascii="Calibri" w:eastAsia="Times New Roman" w:hAnsi="Calibri" w:cs="Times New Roman"/>
          <w:b/>
          <w:bCs/>
          <w:sz w:val="24"/>
          <w:szCs w:val="24"/>
        </w:rPr>
        <w:t>Faites</w:t>
      </w:r>
      <w:r w:rsidRPr="007C036F">
        <w:rPr>
          <w:rFonts w:ascii="Calibri" w:eastAsia="Times New Roman" w:hAnsi="Calibri" w:cs="Times New Roman"/>
          <w:b/>
          <w:bCs/>
          <w:sz w:val="24"/>
          <w:szCs w:val="24"/>
        </w:rPr>
        <w:t>-</w:t>
      </w:r>
      <w:r w:rsidRPr="007C036F">
        <w:rPr>
          <w:rFonts w:ascii="Calibri" w:eastAsia="Times New Roman" w:hAnsi="Calibri" w:cs="Times New Roman"/>
          <w:b/>
          <w:bCs/>
          <w:sz w:val="24"/>
          <w:szCs w:val="24"/>
        </w:rPr>
        <w:t xml:space="preserve">vous appel à toutes les aides du </w:t>
      </w:r>
      <w:proofErr w:type="spellStart"/>
      <w:r w:rsidRPr="007C036F">
        <w:rPr>
          <w:rFonts w:ascii="Calibri" w:eastAsia="Times New Roman" w:hAnsi="Calibri" w:cs="Times New Roman"/>
          <w:b/>
          <w:bCs/>
          <w:sz w:val="24"/>
          <w:szCs w:val="24"/>
        </w:rPr>
        <w:t>Fiphfp</w:t>
      </w:r>
      <w:proofErr w:type="spellEnd"/>
      <w:r w:rsidRPr="007C036F">
        <w:rPr>
          <w:rFonts w:ascii="Calibri" w:eastAsia="Times New Roman" w:hAnsi="Calibri" w:cs="Times New Roman"/>
          <w:b/>
          <w:bCs/>
          <w:sz w:val="24"/>
          <w:szCs w:val="24"/>
        </w:rPr>
        <w:t> ?</w:t>
      </w:r>
    </w:p>
    <w:p w14:paraId="64B6A89E" w14:textId="77777777" w:rsidR="00CF5CBC" w:rsidRPr="007C036F" w:rsidRDefault="00CF5CBC" w:rsidP="00CF5CBC">
      <w:pPr>
        <w:spacing w:after="0" w:line="240" w:lineRule="auto"/>
        <w:ind w:left="720"/>
        <w:rPr>
          <w:rFonts w:ascii="Calibri" w:eastAsia="Times New Roman" w:hAnsi="Calibri" w:cs="Times New Roman"/>
          <w:b/>
          <w:bCs/>
          <w:sz w:val="24"/>
          <w:szCs w:val="24"/>
        </w:rPr>
      </w:pPr>
    </w:p>
    <w:p w14:paraId="074DCDE0" w14:textId="77777777" w:rsidR="007C036F" w:rsidRPr="007C036F" w:rsidRDefault="007C036F" w:rsidP="007C036F">
      <w:pPr>
        <w:spacing w:after="0" w:line="240" w:lineRule="auto"/>
        <w:rPr>
          <w:rFonts w:ascii="Calibri" w:eastAsia="Times New Roman" w:hAnsi="Calibri" w:cs="Times New Roman"/>
        </w:rPr>
      </w:pPr>
      <w:r w:rsidRPr="007C036F">
        <w:rPr>
          <w:rFonts w:ascii="Calibri" w:eastAsia="Times New Roman" w:hAnsi="Calibri" w:cs="Times New Roman"/>
        </w:rPr>
        <w:t>Saviez-vous que l’essentiel de vos demandes d’aide se tourne vers les prothèses auditives et les aides à l’aménagement de poste de travail ?</w:t>
      </w:r>
    </w:p>
    <w:p w14:paraId="4EDFBF46" w14:textId="4CA520FD" w:rsidR="007C036F" w:rsidRPr="007C036F" w:rsidRDefault="007C036F" w:rsidP="007C036F">
      <w:pPr>
        <w:spacing w:after="0" w:line="240" w:lineRule="auto"/>
        <w:rPr>
          <w:rFonts w:ascii="Calibri" w:eastAsia="Times New Roman" w:hAnsi="Calibri" w:cs="Times New Roman"/>
        </w:rPr>
      </w:pPr>
      <w:r w:rsidRPr="007C036F">
        <w:rPr>
          <w:rFonts w:ascii="Calibri" w:eastAsia="Times New Roman" w:hAnsi="Calibri" w:cs="Times New Roman"/>
        </w:rPr>
        <w:t>Pourtant, de nombreuses possibilités d’appui sont à votre disposition</w:t>
      </w:r>
      <w:r>
        <w:rPr>
          <w:rFonts w:ascii="Calibri" w:eastAsia="Times New Roman" w:hAnsi="Calibri" w:cs="Times New Roman"/>
        </w:rPr>
        <w:t> !</w:t>
      </w:r>
    </w:p>
    <w:p w14:paraId="78B9C368" w14:textId="77777777" w:rsidR="007C036F" w:rsidRPr="007C036F" w:rsidRDefault="007C036F" w:rsidP="007C036F">
      <w:pPr>
        <w:spacing w:after="0" w:line="240" w:lineRule="auto"/>
        <w:rPr>
          <w:rFonts w:ascii="Calibri" w:eastAsia="Times New Roman" w:hAnsi="Calibri" w:cs="Times New Roman"/>
        </w:rPr>
      </w:pPr>
      <w:r w:rsidRPr="007C036F">
        <w:rPr>
          <w:rFonts w:ascii="Calibri" w:eastAsia="Times New Roman" w:hAnsi="Calibri" w:cs="Times New Roman"/>
        </w:rPr>
        <w:t>Afin de vous inciter à utiliser au mieux le catalogue des aides, je vous propose une mise en lumière d’aides peu utilisées, cette semaine,</w:t>
      </w:r>
      <w:r w:rsidRPr="007C036F">
        <w:rPr>
          <w:rFonts w:ascii="Calibri" w:eastAsia="Times New Roman" w:hAnsi="Calibri" w:cs="Times New Roman"/>
          <w:b/>
          <w:bCs/>
        </w:rPr>
        <w:t xml:space="preserve"> l’aide à la formation destinée à compenser le handicap</w:t>
      </w:r>
      <w:r w:rsidRPr="007C036F">
        <w:rPr>
          <w:rFonts w:ascii="Calibri" w:eastAsia="Times New Roman" w:hAnsi="Calibri" w:cs="Times New Roman"/>
        </w:rPr>
        <w:t>.</w:t>
      </w:r>
    </w:p>
    <w:p w14:paraId="098A6AF7" w14:textId="77777777" w:rsidR="007C036F" w:rsidRPr="007C036F" w:rsidRDefault="007C036F" w:rsidP="007C036F">
      <w:pPr>
        <w:spacing w:after="0" w:line="240" w:lineRule="auto"/>
        <w:rPr>
          <w:rFonts w:ascii="Calibri" w:eastAsia="Times New Roman" w:hAnsi="Calibri" w:cs="Times New Roman"/>
        </w:rPr>
      </w:pPr>
      <w:r w:rsidRPr="007C036F">
        <w:rPr>
          <w:rFonts w:ascii="Calibri" w:eastAsia="Times New Roman" w:hAnsi="Calibri" w:cs="Times New Roman"/>
        </w:rPr>
        <w:t>Exemples de situations :</w:t>
      </w:r>
    </w:p>
    <w:p w14:paraId="1E3634B7" w14:textId="75EF6B04" w:rsidR="007C036F" w:rsidRPr="007C036F" w:rsidRDefault="007C036F" w:rsidP="007C036F">
      <w:pPr>
        <w:numPr>
          <w:ilvl w:val="0"/>
          <w:numId w:val="12"/>
        </w:numPr>
        <w:spacing w:after="0" w:line="240" w:lineRule="auto"/>
        <w:rPr>
          <w:rFonts w:ascii="Calibri" w:eastAsia="Times New Roman" w:hAnsi="Calibri" w:cs="Times New Roman"/>
        </w:rPr>
      </w:pPr>
      <w:r w:rsidRPr="007C036F">
        <w:rPr>
          <w:rFonts w:ascii="Calibri" w:eastAsia="Times New Roman" w:hAnsi="Calibri" w:cs="Times New Roman"/>
        </w:rPr>
        <w:t xml:space="preserve">Une collègue doit utiliser un nouveau logiciel de dictée et ou de lecture audio pour limiter son temps de saisie </w:t>
      </w:r>
    </w:p>
    <w:p w14:paraId="2090FFB0" w14:textId="77777777" w:rsidR="007C036F" w:rsidRPr="007C036F" w:rsidRDefault="007C036F" w:rsidP="007C036F">
      <w:pPr>
        <w:numPr>
          <w:ilvl w:val="0"/>
          <w:numId w:val="12"/>
        </w:numPr>
        <w:spacing w:after="0" w:line="240" w:lineRule="auto"/>
        <w:rPr>
          <w:rFonts w:ascii="Calibri" w:eastAsia="Times New Roman" w:hAnsi="Calibri" w:cs="Times New Roman"/>
        </w:rPr>
      </w:pPr>
      <w:r w:rsidRPr="007C036F">
        <w:rPr>
          <w:rFonts w:ascii="Calibri" w:eastAsia="Times New Roman" w:hAnsi="Calibri" w:cs="Times New Roman"/>
        </w:rPr>
        <w:t>Un collègue DYS a besoin d’un logiciel spécifique sur son ordinateur</w:t>
      </w:r>
    </w:p>
    <w:p w14:paraId="75ADC70B" w14:textId="77777777" w:rsidR="007C036F" w:rsidRPr="007C036F" w:rsidRDefault="007C036F" w:rsidP="007C036F">
      <w:pPr>
        <w:numPr>
          <w:ilvl w:val="0"/>
          <w:numId w:val="12"/>
        </w:numPr>
        <w:spacing w:after="0" w:line="240" w:lineRule="auto"/>
        <w:rPr>
          <w:rFonts w:ascii="Calibri" w:eastAsia="Times New Roman" w:hAnsi="Calibri" w:cs="Times New Roman"/>
        </w:rPr>
      </w:pPr>
      <w:r w:rsidRPr="007C036F">
        <w:rPr>
          <w:rFonts w:ascii="Calibri" w:eastAsia="Times New Roman" w:hAnsi="Calibri" w:cs="Times New Roman"/>
        </w:rPr>
        <w:t>Un collègue aurait besoin d’apprendre la lecture labiale</w:t>
      </w:r>
    </w:p>
    <w:p w14:paraId="26B9F579" w14:textId="77777777" w:rsidR="007C036F" w:rsidRPr="007C036F" w:rsidRDefault="007C036F" w:rsidP="007C036F">
      <w:pPr>
        <w:numPr>
          <w:ilvl w:val="0"/>
          <w:numId w:val="13"/>
        </w:numPr>
        <w:spacing w:after="0" w:line="240" w:lineRule="auto"/>
        <w:rPr>
          <w:rFonts w:ascii="Calibri" w:eastAsia="Times New Roman" w:hAnsi="Calibri" w:cs="Times New Roman"/>
        </w:rPr>
      </w:pPr>
      <w:r w:rsidRPr="007C036F">
        <w:rPr>
          <w:rFonts w:ascii="Calibri" w:eastAsia="Times New Roman" w:hAnsi="Calibri" w:cs="Times New Roman"/>
        </w:rPr>
        <w:t>Les formations nécessaires à la prise en main de ces outils peuvent faire l’objet d’une aide !</w:t>
      </w:r>
    </w:p>
    <w:p w14:paraId="470ADBD4" w14:textId="77777777" w:rsidR="007C036F" w:rsidRPr="007C036F" w:rsidRDefault="007C036F" w:rsidP="007C036F">
      <w:pPr>
        <w:numPr>
          <w:ilvl w:val="0"/>
          <w:numId w:val="13"/>
        </w:numPr>
        <w:spacing w:after="0" w:line="240" w:lineRule="auto"/>
        <w:rPr>
          <w:rFonts w:ascii="Calibri" w:eastAsia="Times New Roman" w:hAnsi="Calibri" w:cs="Times New Roman"/>
        </w:rPr>
      </w:pPr>
      <w:r w:rsidRPr="007C036F">
        <w:rPr>
          <w:rFonts w:ascii="Calibri" w:eastAsia="Times New Roman" w:hAnsi="Calibri" w:cs="Times New Roman"/>
        </w:rPr>
        <w:t xml:space="preserve">En savoir plus ? </w:t>
      </w:r>
      <w:hyperlink r:id="rId5" w:history="1">
        <w:r w:rsidRPr="007C036F">
          <w:rPr>
            <w:rFonts w:ascii="Calibri" w:eastAsia="Times New Roman" w:hAnsi="Calibri" w:cs="Times New Roman"/>
            <w:color w:val="0563C1"/>
            <w:u w:val="single"/>
          </w:rPr>
          <w:t>https://www.fiphfp.fr/employeurs/nos-aides-financieres/catalogue-des-interventions/formation-destinee-a-compenser-le-handicap</w:t>
        </w:r>
      </w:hyperlink>
    </w:p>
    <w:p w14:paraId="24037501" w14:textId="77777777" w:rsidR="006C3A6E" w:rsidRPr="006C3A6E" w:rsidRDefault="006C3A6E" w:rsidP="006C3A6E">
      <w:pPr>
        <w:spacing w:after="0" w:line="240" w:lineRule="auto"/>
        <w:ind w:left="1440"/>
        <w:rPr>
          <w:rFonts w:ascii="Calibri" w:eastAsia="Times New Roman" w:hAnsi="Calibri" w:cs="Times New Roman"/>
          <w:sz w:val="18"/>
          <w:szCs w:val="18"/>
        </w:rPr>
      </w:pPr>
    </w:p>
    <w:p w14:paraId="33AC7331" w14:textId="72EDC446" w:rsidR="006C3A6E" w:rsidRPr="00323564" w:rsidRDefault="00323564" w:rsidP="006C3A6E">
      <w:pPr>
        <w:numPr>
          <w:ilvl w:val="0"/>
          <w:numId w:val="1"/>
        </w:numPr>
        <w:spacing w:after="0" w:line="240" w:lineRule="auto"/>
        <w:rPr>
          <w:rFonts w:ascii="Calibri" w:eastAsia="Times New Roman" w:hAnsi="Calibri" w:cs="Calibri"/>
          <w:b/>
          <w:bCs/>
          <w:sz w:val="24"/>
          <w:szCs w:val="24"/>
        </w:rPr>
      </w:pPr>
      <w:r w:rsidRPr="00323564">
        <w:rPr>
          <w:rFonts w:ascii="Calibri" w:eastAsia="Times New Roman" w:hAnsi="Calibri" w:cs="Calibri"/>
          <w:b/>
          <w:bCs/>
          <w:sz w:val="24"/>
          <w:szCs w:val="24"/>
        </w:rPr>
        <w:t xml:space="preserve">Des capsules vidéo pour découvrir les aides du </w:t>
      </w:r>
      <w:proofErr w:type="spellStart"/>
      <w:r w:rsidRPr="00323564">
        <w:rPr>
          <w:rFonts w:ascii="Calibri" w:eastAsia="Times New Roman" w:hAnsi="Calibri" w:cs="Calibri"/>
          <w:b/>
          <w:bCs/>
          <w:sz w:val="24"/>
          <w:szCs w:val="24"/>
        </w:rPr>
        <w:t>Fiphfp</w:t>
      </w:r>
      <w:proofErr w:type="spellEnd"/>
      <w:r w:rsidRPr="00323564">
        <w:rPr>
          <w:rFonts w:ascii="Calibri" w:eastAsia="Times New Roman" w:hAnsi="Calibri" w:cs="Calibri"/>
          <w:b/>
          <w:bCs/>
          <w:sz w:val="24"/>
          <w:szCs w:val="24"/>
        </w:rPr>
        <w:t> :</w:t>
      </w:r>
    </w:p>
    <w:p w14:paraId="60B9F2FC" w14:textId="77777777" w:rsidR="00323564" w:rsidRDefault="00323564" w:rsidP="00323564">
      <w:pPr>
        <w:spacing w:after="0" w:line="240" w:lineRule="auto"/>
        <w:rPr>
          <w:rFonts w:ascii="Arial" w:eastAsia="Times New Roman" w:hAnsi="Arial" w:cs="Arial"/>
          <w:color w:val="000000"/>
          <w:sz w:val="20"/>
          <w:szCs w:val="20"/>
          <w:lang w:eastAsia="fr-FR"/>
        </w:rPr>
      </w:pPr>
    </w:p>
    <w:p w14:paraId="70452292" w14:textId="4370FD80" w:rsidR="00323564" w:rsidRPr="00323564" w:rsidRDefault="00323564" w:rsidP="00323564">
      <w:pPr>
        <w:spacing w:after="0" w:line="240" w:lineRule="auto"/>
        <w:rPr>
          <w:rFonts w:ascii="Arial" w:eastAsia="Times New Roman" w:hAnsi="Arial" w:cs="Arial"/>
          <w:color w:val="3B3F44"/>
          <w:sz w:val="20"/>
          <w:szCs w:val="20"/>
          <w:lang w:eastAsia="fr-FR"/>
        </w:rPr>
      </w:pPr>
      <w:r w:rsidRPr="00323564">
        <w:rPr>
          <w:rFonts w:ascii="Arial" w:eastAsia="Times New Roman" w:hAnsi="Arial" w:cs="Arial"/>
          <w:color w:val="000000"/>
          <w:sz w:val="20"/>
          <w:szCs w:val="20"/>
          <w:lang w:eastAsia="fr-FR"/>
        </w:rPr>
        <w:t xml:space="preserve">Afin d’accompagner au mieux les employeurs publics dans leurs demandes d’aides, le FIPHFP vient de réaliser une série de dix capsules </w:t>
      </w:r>
      <w:proofErr w:type="gramStart"/>
      <w:r w:rsidRPr="00323564">
        <w:rPr>
          <w:rFonts w:ascii="Arial" w:eastAsia="Times New Roman" w:hAnsi="Arial" w:cs="Arial"/>
          <w:color w:val="000000"/>
          <w:sz w:val="20"/>
          <w:szCs w:val="20"/>
          <w:lang w:eastAsia="fr-FR"/>
        </w:rPr>
        <w:t>vidéos</w:t>
      </w:r>
      <w:proofErr w:type="gramEnd"/>
      <w:r w:rsidRPr="00323564">
        <w:rPr>
          <w:rFonts w:ascii="Arial" w:eastAsia="Times New Roman" w:hAnsi="Arial" w:cs="Arial"/>
          <w:color w:val="000000"/>
          <w:sz w:val="20"/>
          <w:szCs w:val="20"/>
          <w:lang w:eastAsia="fr-FR"/>
        </w:rPr>
        <w:t xml:space="preserve"> pédagogiques et ludiques autour des questions les plus souvent posées aux équipes de gestion administrative du Fonds.</w:t>
      </w:r>
    </w:p>
    <w:p w14:paraId="2F64AF7C" w14:textId="58ABA56E" w:rsidR="00323564" w:rsidRPr="00323564" w:rsidRDefault="00323564" w:rsidP="00323564">
      <w:pPr>
        <w:spacing w:after="0" w:line="240" w:lineRule="auto"/>
        <w:rPr>
          <w:rFonts w:ascii="Arial" w:eastAsia="Times New Roman" w:hAnsi="Arial" w:cs="Arial"/>
          <w:color w:val="3B3F44"/>
          <w:sz w:val="20"/>
          <w:szCs w:val="20"/>
          <w:lang w:eastAsia="fr-FR"/>
        </w:rPr>
      </w:pPr>
      <w:r w:rsidRPr="00323564">
        <w:rPr>
          <w:rFonts w:ascii="Arial" w:eastAsia="Times New Roman" w:hAnsi="Arial" w:cs="Arial"/>
          <w:b/>
          <w:bCs/>
          <w:color w:val="3B3F44"/>
          <w:sz w:val="20"/>
          <w:szCs w:val="20"/>
          <w:lang w:eastAsia="fr-FR"/>
        </w:rPr>
        <w:t> </w:t>
      </w:r>
      <w:r w:rsidRPr="00323564">
        <w:rPr>
          <w:rFonts w:ascii="Arial" w:eastAsia="Times New Roman" w:hAnsi="Arial" w:cs="Arial"/>
          <w:b/>
          <w:bCs/>
          <w:color w:val="000000"/>
          <w:sz w:val="20"/>
          <w:szCs w:val="20"/>
          <w:lang w:eastAsia="fr-FR"/>
        </w:rPr>
        <w:t>D’une durée d'1 minutes à 2 minutes 30 environ,</w:t>
      </w:r>
      <w:r w:rsidRPr="00323564">
        <w:rPr>
          <w:rFonts w:ascii="Arial" w:eastAsia="Times New Roman" w:hAnsi="Arial" w:cs="Arial"/>
          <w:color w:val="000000"/>
          <w:sz w:val="20"/>
          <w:szCs w:val="20"/>
          <w:lang w:eastAsia="fr-FR"/>
        </w:rPr>
        <w:t xml:space="preserve"> ces vidéos, dans lesquelles six agents de la plateforme des aides du FIPHFP sont acteurs et actrices, abordent avec humour les questions et erreurs les plus souvent rencontrées lors d’une demande d’aide au Fonds.</w:t>
      </w:r>
    </w:p>
    <w:p w14:paraId="44ACE50A" w14:textId="77777777" w:rsidR="00323564" w:rsidRPr="00323564" w:rsidRDefault="00323564" w:rsidP="00323564">
      <w:pPr>
        <w:spacing w:after="0" w:line="240" w:lineRule="auto"/>
        <w:rPr>
          <w:rFonts w:ascii="Arial" w:eastAsia="Times New Roman" w:hAnsi="Arial" w:cs="Arial"/>
          <w:color w:val="3B3F44"/>
          <w:sz w:val="20"/>
          <w:szCs w:val="20"/>
          <w:lang w:eastAsia="fr-FR"/>
        </w:rPr>
      </w:pPr>
      <w:r w:rsidRPr="00323564">
        <w:rPr>
          <w:rFonts w:ascii="Arial" w:eastAsia="Times New Roman" w:hAnsi="Arial" w:cs="Arial"/>
          <w:color w:val="000000"/>
          <w:sz w:val="20"/>
          <w:szCs w:val="20"/>
          <w:lang w:eastAsia="fr-FR"/>
        </w:rPr>
        <w:t>Elles s’adressent aux référents handicap des employeurs publics des trois versants de la Fonction publique.</w:t>
      </w:r>
    </w:p>
    <w:p w14:paraId="68C70BAD" w14:textId="77777777" w:rsidR="00323564" w:rsidRPr="00323564" w:rsidRDefault="00323564" w:rsidP="00323564">
      <w:pPr>
        <w:spacing w:after="0" w:line="240" w:lineRule="auto"/>
        <w:rPr>
          <w:rFonts w:ascii="Arial" w:eastAsia="Times New Roman" w:hAnsi="Arial" w:cs="Arial"/>
          <w:color w:val="000000"/>
          <w:sz w:val="20"/>
          <w:szCs w:val="20"/>
          <w:lang w:eastAsia="fr-FR"/>
        </w:rPr>
      </w:pPr>
      <w:r w:rsidRPr="00323564">
        <w:rPr>
          <w:rFonts w:ascii="Arial" w:eastAsia="Times New Roman" w:hAnsi="Arial" w:cs="Arial"/>
          <w:color w:val="000000"/>
          <w:sz w:val="20"/>
          <w:szCs w:val="20"/>
          <w:lang w:eastAsia="fr-FR"/>
        </w:rPr>
        <w:t>Découvrez le 1er épisode sur la thématique "D</w:t>
      </w:r>
      <w:r w:rsidRPr="00323564">
        <w:rPr>
          <w:rFonts w:ascii="Arial" w:eastAsia="Times New Roman" w:hAnsi="Arial" w:cs="Arial"/>
          <w:i/>
          <w:iCs/>
          <w:color w:val="000000"/>
          <w:sz w:val="20"/>
          <w:szCs w:val="20"/>
          <w:lang w:eastAsia="fr-FR"/>
        </w:rPr>
        <w:t>époser sous le bon dispositif : pourquoi et quelles sont les conséquences ?</w:t>
      </w:r>
      <w:r w:rsidRPr="00323564">
        <w:rPr>
          <w:rFonts w:ascii="Arial" w:eastAsia="Times New Roman" w:hAnsi="Arial" w:cs="Arial"/>
          <w:color w:val="000000"/>
          <w:sz w:val="20"/>
          <w:szCs w:val="20"/>
          <w:lang w:eastAsia="fr-FR"/>
        </w:rPr>
        <w:t>" ci-dessous, ainsi que l'intégralité des capsules sur la</w:t>
      </w:r>
    </w:p>
    <w:p w14:paraId="2E6F8F73" w14:textId="3717CD41" w:rsidR="00323564" w:rsidRPr="00323564" w:rsidRDefault="00323564" w:rsidP="00323564">
      <w:pPr>
        <w:spacing w:after="0" w:line="240" w:lineRule="auto"/>
        <w:jc w:val="center"/>
        <w:rPr>
          <w:rFonts w:ascii="Calibri" w:eastAsia="Times New Roman" w:hAnsi="Calibri" w:cs="Calibri"/>
          <w:b/>
          <w:bCs/>
          <w:color w:val="538135" w:themeColor="accent6" w:themeShade="BF"/>
          <w:sz w:val="24"/>
          <w:szCs w:val="24"/>
          <w:lang w:eastAsia="fr-FR"/>
        </w:rPr>
      </w:pPr>
      <w:hyperlink r:id="rId6" w:tgtFrame="_blank" w:tooltip="Chaîne Youtube du FIPHFP" w:history="1">
        <w:proofErr w:type="gramStart"/>
        <w:r w:rsidRPr="00323564">
          <w:rPr>
            <w:rFonts w:ascii="Arial" w:eastAsia="Times New Roman" w:hAnsi="Arial" w:cs="Arial"/>
            <w:b/>
            <w:bCs/>
            <w:color w:val="538135" w:themeColor="accent6" w:themeShade="BF"/>
            <w:sz w:val="24"/>
            <w:szCs w:val="24"/>
            <w:u w:val="single"/>
            <w:lang w:eastAsia="fr-FR"/>
          </w:rPr>
          <w:t>chaîne</w:t>
        </w:r>
        <w:proofErr w:type="gramEnd"/>
        <w:r w:rsidRPr="00323564">
          <w:rPr>
            <w:rFonts w:ascii="Arial" w:eastAsia="Times New Roman" w:hAnsi="Arial" w:cs="Arial"/>
            <w:b/>
            <w:bCs/>
            <w:color w:val="538135" w:themeColor="accent6" w:themeShade="BF"/>
            <w:sz w:val="24"/>
            <w:szCs w:val="24"/>
            <w:u w:val="single"/>
            <w:lang w:eastAsia="fr-FR"/>
          </w:rPr>
          <w:t xml:space="preserve"> </w:t>
        </w:r>
        <w:proofErr w:type="spellStart"/>
        <w:r w:rsidRPr="00323564">
          <w:rPr>
            <w:rFonts w:ascii="Arial" w:eastAsia="Times New Roman" w:hAnsi="Arial" w:cs="Arial"/>
            <w:b/>
            <w:bCs/>
            <w:color w:val="538135" w:themeColor="accent6" w:themeShade="BF"/>
            <w:sz w:val="24"/>
            <w:szCs w:val="24"/>
            <w:u w:val="single"/>
            <w:lang w:eastAsia="fr-FR"/>
          </w:rPr>
          <w:t>Youtub</w:t>
        </w:r>
        <w:r w:rsidRPr="00323564">
          <w:rPr>
            <w:rFonts w:ascii="Arial" w:eastAsia="Times New Roman" w:hAnsi="Arial" w:cs="Arial"/>
            <w:b/>
            <w:bCs/>
            <w:color w:val="538135" w:themeColor="accent6" w:themeShade="BF"/>
            <w:sz w:val="24"/>
            <w:szCs w:val="24"/>
            <w:u w:val="single"/>
            <w:lang w:eastAsia="fr-FR"/>
          </w:rPr>
          <w:t>e</w:t>
        </w:r>
        <w:proofErr w:type="spellEnd"/>
        <w:r w:rsidRPr="00323564">
          <w:rPr>
            <w:rFonts w:ascii="Arial" w:eastAsia="Times New Roman" w:hAnsi="Arial" w:cs="Arial"/>
            <w:b/>
            <w:bCs/>
            <w:color w:val="538135" w:themeColor="accent6" w:themeShade="BF"/>
            <w:sz w:val="24"/>
            <w:szCs w:val="24"/>
            <w:u w:val="single"/>
            <w:lang w:eastAsia="fr-FR"/>
          </w:rPr>
          <w:t xml:space="preserve"> du FIPHFP.</w:t>
        </w:r>
      </w:hyperlink>
    </w:p>
    <w:p w14:paraId="37DB84EE" w14:textId="77777777" w:rsidR="00323564" w:rsidRPr="00323564" w:rsidRDefault="00323564" w:rsidP="00323564">
      <w:pPr>
        <w:spacing w:after="0" w:line="240" w:lineRule="auto"/>
        <w:rPr>
          <w:rFonts w:ascii="Calibri" w:eastAsia="Times New Roman" w:hAnsi="Calibri" w:cs="Calibri"/>
          <w:color w:val="3B3F44"/>
          <w:lang w:eastAsia="fr-FR"/>
        </w:rPr>
      </w:pPr>
    </w:p>
    <w:p w14:paraId="720EA1EB" w14:textId="7CC20019" w:rsidR="00323564" w:rsidRPr="006C3A6E" w:rsidRDefault="00323564" w:rsidP="00323564">
      <w:pPr>
        <w:spacing w:after="0" w:line="240" w:lineRule="auto"/>
        <w:jc w:val="center"/>
        <w:rPr>
          <w:rFonts w:ascii="Calibri" w:eastAsia="Times New Roman" w:hAnsi="Calibri" w:cs="Calibri"/>
          <w:b/>
          <w:bCs/>
        </w:rPr>
      </w:pPr>
      <w:r w:rsidRPr="00323564">
        <w:rPr>
          <w:rFonts w:ascii="Calibri" w:eastAsia="Times New Roman" w:hAnsi="Calibri" w:cs="Calibri"/>
          <w:b/>
          <w:bCs/>
          <w:noProof/>
        </w:rPr>
        <w:drawing>
          <wp:inline distT="0" distB="0" distL="0" distR="0" wp14:anchorId="43C4DFBE" wp14:editId="226E0CCC">
            <wp:extent cx="2744698" cy="21704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349" cy="2178852"/>
                    </a:xfrm>
                    <a:prstGeom prst="rect">
                      <a:avLst/>
                    </a:prstGeom>
                    <a:noFill/>
                    <a:ln>
                      <a:noFill/>
                    </a:ln>
                  </pic:spPr>
                </pic:pic>
              </a:graphicData>
            </a:graphic>
          </wp:inline>
        </w:drawing>
      </w:r>
    </w:p>
    <w:p w14:paraId="79C43C40" w14:textId="707D38D2" w:rsidR="006C3A6E" w:rsidRPr="006C3A6E" w:rsidRDefault="006C3A6E" w:rsidP="006C3A6E">
      <w:pPr>
        <w:spacing w:after="0" w:line="240" w:lineRule="auto"/>
        <w:ind w:left="720"/>
        <w:rPr>
          <w:rFonts w:ascii="Calibri" w:eastAsia="Times New Roman" w:hAnsi="Calibri" w:cs="Times New Roman"/>
          <w:sz w:val="18"/>
          <w:szCs w:val="18"/>
        </w:rPr>
      </w:pPr>
    </w:p>
    <w:p w14:paraId="5F90044B" w14:textId="77777777" w:rsidR="00CF5CBC" w:rsidRDefault="00CF5CBC" w:rsidP="00CA49EC">
      <w:pPr>
        <w:spacing w:after="0" w:line="240" w:lineRule="auto"/>
        <w:jc w:val="center"/>
        <w:rPr>
          <w:rFonts w:ascii="Calibri" w:eastAsia="Times New Roman" w:hAnsi="Calibri" w:cs="Calibri"/>
          <w:b/>
          <w:bCs/>
          <w:color w:val="538135" w:themeColor="accent6" w:themeShade="BF"/>
          <w:sz w:val="24"/>
          <w:szCs w:val="24"/>
        </w:rPr>
      </w:pPr>
    </w:p>
    <w:p w14:paraId="11E30968" w14:textId="33019175" w:rsidR="006C3A6E" w:rsidRDefault="00CA49EC" w:rsidP="00CA49EC">
      <w:pPr>
        <w:spacing w:after="0" w:line="240" w:lineRule="auto"/>
        <w:jc w:val="center"/>
        <w:rPr>
          <w:rFonts w:ascii="Calibri" w:eastAsia="Times New Roman" w:hAnsi="Calibri" w:cs="Calibri"/>
          <w:b/>
          <w:bCs/>
          <w:color w:val="538135" w:themeColor="accent6" w:themeShade="BF"/>
          <w:sz w:val="24"/>
          <w:szCs w:val="24"/>
        </w:rPr>
      </w:pPr>
      <w:r w:rsidRPr="00CA49EC">
        <w:rPr>
          <w:rFonts w:ascii="Calibri" w:eastAsia="Times New Roman" w:hAnsi="Calibri" w:cs="Calibri"/>
          <w:b/>
          <w:bCs/>
          <w:color w:val="538135" w:themeColor="accent6" w:themeShade="BF"/>
          <w:sz w:val="24"/>
          <w:szCs w:val="24"/>
        </w:rPr>
        <w:lastRenderedPageBreak/>
        <w:t>Zoom sur le Handi-Pacte </w:t>
      </w:r>
    </w:p>
    <w:p w14:paraId="5E35F1AB" w14:textId="77777777" w:rsidR="00CF5CBC" w:rsidRPr="00CA49EC" w:rsidRDefault="00CF5CBC" w:rsidP="00CA49EC">
      <w:pPr>
        <w:spacing w:after="0" w:line="240" w:lineRule="auto"/>
        <w:jc w:val="center"/>
        <w:rPr>
          <w:rFonts w:ascii="Calibri" w:eastAsia="Times New Roman" w:hAnsi="Calibri" w:cs="Calibri"/>
          <w:b/>
          <w:bCs/>
          <w:color w:val="538135" w:themeColor="accent6" w:themeShade="BF"/>
          <w:sz w:val="24"/>
          <w:szCs w:val="24"/>
        </w:rPr>
      </w:pPr>
    </w:p>
    <w:p w14:paraId="3FE9425B" w14:textId="3588DE4F" w:rsidR="00CA49EC" w:rsidRPr="0030248F" w:rsidRDefault="00CA49EC" w:rsidP="0030248F">
      <w:pPr>
        <w:pStyle w:val="Paragraphedeliste"/>
        <w:numPr>
          <w:ilvl w:val="0"/>
          <w:numId w:val="1"/>
        </w:numPr>
        <w:spacing w:after="0" w:line="240" w:lineRule="auto"/>
        <w:rPr>
          <w:rFonts w:ascii="Calibri" w:eastAsia="Times New Roman" w:hAnsi="Calibri" w:cs="Calibri"/>
          <w:b/>
          <w:bCs/>
        </w:rPr>
      </w:pPr>
      <w:r w:rsidRPr="0030248F">
        <w:rPr>
          <w:rFonts w:ascii="Calibri" w:eastAsia="Times New Roman" w:hAnsi="Calibri" w:cs="Calibri"/>
          <w:b/>
          <w:bCs/>
        </w:rPr>
        <w:t>Au fait, c’est quoi le Handi-Pacte ?</w:t>
      </w:r>
    </w:p>
    <w:p w14:paraId="4BDC41D1" w14:textId="28434D03" w:rsidR="00CA49EC" w:rsidRPr="00CA49EC" w:rsidRDefault="00CA49EC" w:rsidP="0030248F">
      <w:pPr>
        <w:pStyle w:val="chapo"/>
        <w:shd w:val="clear" w:color="auto" w:fill="FFFFFF"/>
        <w:spacing w:before="0" w:beforeAutospacing="0" w:after="0" w:afterAutospacing="0"/>
        <w:ind w:left="708"/>
        <w:rPr>
          <w:rFonts w:ascii="Calibri" w:hAnsi="Calibri" w:cs="Calibri"/>
          <w:color w:val="333333"/>
          <w:sz w:val="22"/>
          <w:szCs w:val="22"/>
        </w:rPr>
      </w:pPr>
      <w:r w:rsidRPr="00CA49EC">
        <w:rPr>
          <w:rFonts w:ascii="Calibri" w:hAnsi="Calibri" w:cs="Calibri"/>
          <w:color w:val="333333"/>
          <w:sz w:val="22"/>
          <w:szCs w:val="22"/>
        </w:rPr>
        <w:t xml:space="preserve">Dans chaque région de France existent, depuis 2014 pour les premiers, des Pactes territoriaux ou Handi-Pactes. Ces dispositifs visent à </w:t>
      </w:r>
      <w:r w:rsidRPr="00CA49EC">
        <w:rPr>
          <w:rFonts w:ascii="Calibri" w:hAnsi="Calibri" w:cs="Calibri"/>
          <w:b/>
          <w:bCs/>
          <w:color w:val="333333"/>
          <w:sz w:val="22"/>
          <w:szCs w:val="22"/>
        </w:rPr>
        <w:t>animer et développer les partenariats régionaux</w:t>
      </w:r>
      <w:r w:rsidRPr="00CA49EC">
        <w:rPr>
          <w:rFonts w:ascii="Calibri" w:hAnsi="Calibri" w:cs="Calibri"/>
          <w:color w:val="333333"/>
          <w:sz w:val="22"/>
          <w:szCs w:val="22"/>
        </w:rPr>
        <w:t xml:space="preserve"> afin de partager les bonnes pratiques et de mobiliser les ressources disponibles au sein des employeurs publics en faveur de l’emploi et de l’insertion des personnes handicapées. </w:t>
      </w:r>
    </w:p>
    <w:p w14:paraId="354164FB" w14:textId="77777777" w:rsidR="00CA49EC" w:rsidRPr="006C3A6E" w:rsidRDefault="00CA49EC" w:rsidP="006C3A6E">
      <w:pPr>
        <w:spacing w:after="0" w:line="240" w:lineRule="auto"/>
        <w:rPr>
          <w:rFonts w:ascii="Calibri" w:eastAsia="Times New Roman" w:hAnsi="Calibri" w:cs="Calibri"/>
          <w:b/>
          <w:bCs/>
        </w:rPr>
      </w:pPr>
    </w:p>
    <w:p w14:paraId="29498D73" w14:textId="5559265B" w:rsidR="003779BD" w:rsidRPr="0030248F" w:rsidRDefault="003779BD" w:rsidP="003779BD">
      <w:pPr>
        <w:pStyle w:val="Paragraphedeliste"/>
        <w:numPr>
          <w:ilvl w:val="0"/>
          <w:numId w:val="10"/>
        </w:numPr>
        <w:spacing w:after="0" w:line="240" w:lineRule="auto"/>
        <w:rPr>
          <w:rFonts w:ascii="Calibri" w:eastAsia="Times New Roman" w:hAnsi="Calibri" w:cs="Calibri"/>
          <w:b/>
          <w:bCs/>
        </w:rPr>
      </w:pPr>
      <w:r w:rsidRPr="0030248F">
        <w:rPr>
          <w:rFonts w:ascii="Calibri" w:eastAsia="Times New Roman" w:hAnsi="Calibri" w:cs="Calibri"/>
          <w:b/>
          <w:bCs/>
        </w:rPr>
        <w:t>Vous souhaitez avoir une influence sur le programme proposé par Handi</w:t>
      </w:r>
      <w:r w:rsidR="00CA49EC" w:rsidRPr="0030248F">
        <w:rPr>
          <w:rFonts w:ascii="Calibri" w:eastAsia="Times New Roman" w:hAnsi="Calibri" w:cs="Calibri"/>
          <w:b/>
          <w:bCs/>
        </w:rPr>
        <w:t>-P</w:t>
      </w:r>
      <w:r w:rsidRPr="0030248F">
        <w:rPr>
          <w:rFonts w:ascii="Calibri" w:eastAsia="Times New Roman" w:hAnsi="Calibri" w:cs="Calibri"/>
          <w:b/>
          <w:bCs/>
        </w:rPr>
        <w:t>acte ?</w:t>
      </w:r>
    </w:p>
    <w:p w14:paraId="4107D3DE" w14:textId="42206B73" w:rsidR="00323564" w:rsidRPr="00323564" w:rsidRDefault="003779BD" w:rsidP="003779BD">
      <w:pPr>
        <w:spacing w:after="0" w:line="240" w:lineRule="auto"/>
        <w:ind w:left="720"/>
        <w:rPr>
          <w:rFonts w:ascii="Calibri" w:eastAsia="Times New Roman" w:hAnsi="Calibri" w:cs="Calibri"/>
          <w:b/>
          <w:bCs/>
        </w:rPr>
      </w:pPr>
      <w:r w:rsidRPr="0030248F">
        <w:rPr>
          <w:rFonts w:ascii="Calibri" w:eastAsia="Times New Roman" w:hAnsi="Calibri" w:cs="Calibri"/>
          <w:b/>
          <w:bCs/>
        </w:rPr>
        <w:t>Répondez à l’</w:t>
      </w:r>
      <w:r w:rsidRPr="00323564">
        <w:rPr>
          <w:rFonts w:ascii="Calibri" w:eastAsia="Times New Roman" w:hAnsi="Calibri" w:cs="Calibri"/>
          <w:b/>
          <w:bCs/>
        </w:rPr>
        <w:t>Enquête 2024</w:t>
      </w:r>
      <w:r w:rsidRPr="0030248F">
        <w:rPr>
          <w:rFonts w:ascii="Calibri" w:eastAsia="Times New Roman" w:hAnsi="Calibri" w:cs="Calibri"/>
          <w:b/>
          <w:bCs/>
        </w:rPr>
        <w:t> !</w:t>
      </w:r>
      <w:r w:rsidR="00323564" w:rsidRPr="00323564">
        <w:rPr>
          <w:rFonts w:ascii="Calibri" w:eastAsia="Times New Roman" w:hAnsi="Calibri" w:cs="Calibri"/>
          <w:color w:val="000000"/>
          <w:lang w:eastAsia="fr-FR"/>
        </w:rPr>
        <w:br/>
        <w:t>Certains d’entre vous nous ont déjà partagé leurs envies de rencontres thématiques pour cette nouvelle année. Merci à eux !</w:t>
      </w:r>
      <w:r w:rsidR="00323564" w:rsidRPr="00323564">
        <w:rPr>
          <w:rFonts w:ascii="Calibri" w:eastAsia="Times New Roman" w:hAnsi="Calibri" w:cs="Calibri"/>
          <w:color w:val="000000"/>
          <w:lang w:eastAsia="fr-FR"/>
        </w:rPr>
        <w:br/>
        <w:t xml:space="preserve">Afin d’être au plus proche des envies d’un maximum d’employeurs, </w:t>
      </w:r>
      <w:r w:rsidR="00323564" w:rsidRPr="00323564">
        <w:rPr>
          <w:rFonts w:ascii="Calibri" w:eastAsia="Times New Roman" w:hAnsi="Calibri" w:cs="Calibri"/>
          <w:b/>
          <w:bCs/>
          <w:color w:val="000000"/>
          <w:lang w:eastAsia="fr-FR"/>
        </w:rPr>
        <w:t xml:space="preserve">nous vous invitons à répondre à une (courte) enquête, </w:t>
      </w:r>
      <w:r w:rsidR="00323564" w:rsidRPr="00323564">
        <w:rPr>
          <w:rFonts w:ascii="Calibri" w:eastAsia="Times New Roman" w:hAnsi="Calibri" w:cs="Calibri"/>
          <w:color w:val="000000"/>
          <w:lang w:eastAsia="fr-FR"/>
        </w:rPr>
        <w:t>dont l’analyse nous permettra de mieux comprendre vos attentes</w:t>
      </w:r>
      <w:r w:rsidR="00323564" w:rsidRPr="00323564">
        <w:rPr>
          <w:rFonts w:ascii="Calibri" w:eastAsia="Times New Roman" w:hAnsi="Calibri" w:cs="Calibri"/>
          <w:b/>
          <w:bCs/>
          <w:color w:val="000000"/>
          <w:lang w:eastAsia="fr-FR"/>
        </w:rPr>
        <w:t>.</w:t>
      </w:r>
      <w:r w:rsidR="007C036F">
        <w:rPr>
          <w:rFonts w:ascii="Calibri" w:eastAsia="Times New Roman" w:hAnsi="Calibri" w:cs="Calibri"/>
          <w:b/>
          <w:bCs/>
          <w:color w:val="000000"/>
          <w:lang w:eastAsia="fr-FR"/>
        </w:rPr>
        <w:t xml:space="preserve"> </w:t>
      </w:r>
      <w:r w:rsidR="00323564" w:rsidRPr="00323564">
        <w:rPr>
          <w:rFonts w:ascii="Calibri" w:eastAsia="Times New Roman" w:hAnsi="Calibri" w:cs="Calibri"/>
          <w:b/>
          <w:bCs/>
          <w:color w:val="000000"/>
          <w:lang w:eastAsia="fr-FR"/>
        </w:rPr>
        <w:t xml:space="preserve">Si ce n’est pas déjà fait, voici le lien (google </w:t>
      </w:r>
      <w:proofErr w:type="spellStart"/>
      <w:r w:rsidR="00323564" w:rsidRPr="00323564">
        <w:rPr>
          <w:rFonts w:ascii="Calibri" w:eastAsia="Times New Roman" w:hAnsi="Calibri" w:cs="Calibri"/>
          <w:b/>
          <w:bCs/>
          <w:color w:val="000000"/>
          <w:lang w:eastAsia="fr-FR"/>
        </w:rPr>
        <w:t>form</w:t>
      </w:r>
      <w:proofErr w:type="spellEnd"/>
      <w:r w:rsidR="00323564" w:rsidRPr="00323564">
        <w:rPr>
          <w:rFonts w:ascii="Calibri" w:eastAsia="Times New Roman" w:hAnsi="Calibri" w:cs="Calibri"/>
          <w:b/>
          <w:bCs/>
          <w:color w:val="000000"/>
          <w:lang w:eastAsia="fr-FR"/>
        </w:rPr>
        <w:t>) :</w:t>
      </w:r>
      <w:r w:rsidR="00CF5CBC">
        <w:rPr>
          <w:rFonts w:ascii="Calibri" w:eastAsia="Times New Roman" w:hAnsi="Calibri" w:cs="Calibri"/>
          <w:b/>
          <w:bCs/>
          <w:color w:val="000000"/>
          <w:lang w:eastAsia="fr-FR"/>
        </w:rPr>
        <w:t xml:space="preserve"> AVANT FIN AVRIL</w:t>
      </w:r>
    </w:p>
    <w:p w14:paraId="6457CD6E" w14:textId="5D2578A3" w:rsidR="00323564" w:rsidRPr="00323564" w:rsidRDefault="003779BD" w:rsidP="003779BD">
      <w:pPr>
        <w:shd w:val="clear" w:color="auto" w:fill="FFFFFF"/>
        <w:spacing w:before="150" w:after="150" w:line="360" w:lineRule="atLeast"/>
        <w:ind w:left="1068"/>
        <w:rPr>
          <w:rFonts w:ascii="Calibri" w:eastAsia="Times New Roman" w:hAnsi="Calibri" w:cs="Calibri"/>
          <w:color w:val="000000"/>
          <w:lang w:eastAsia="fr-FR"/>
        </w:rPr>
      </w:pPr>
      <w:r w:rsidRPr="0030248F">
        <w:rPr>
          <w:rFonts w:ascii="Calibri" w:eastAsia="Times New Roman" w:hAnsi="Calibri" w:cs="Calibri"/>
          <w:noProof/>
          <w:lang w:eastAsia="fr-FR"/>
        </w:rPr>
        <w:drawing>
          <wp:anchor distT="0" distB="0" distL="114300" distR="114300" simplePos="0" relativeHeight="251660288" behindDoc="0" locked="0" layoutInCell="1" allowOverlap="1" wp14:anchorId="5D966223" wp14:editId="0F544729">
            <wp:simplePos x="0" y="0"/>
            <wp:positionH relativeFrom="column">
              <wp:posOffset>539115</wp:posOffset>
            </wp:positionH>
            <wp:positionV relativeFrom="paragraph">
              <wp:posOffset>49530</wp:posOffset>
            </wp:positionV>
            <wp:extent cx="1190625" cy="448310"/>
            <wp:effectExtent l="0" t="0" r="9525" b="889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564" w:rsidRPr="00323564">
        <w:rPr>
          <w:rFonts w:ascii="Calibri" w:eastAsia="Times New Roman" w:hAnsi="Calibri" w:cs="Calibri"/>
          <w:color w:val="000000"/>
          <w:lang w:eastAsia="fr-FR"/>
        </w:rPr>
        <w:t xml:space="preserve">                                      </w:t>
      </w:r>
      <w:hyperlink r:id="rId9" w:history="1">
        <w:r w:rsidR="00323564" w:rsidRPr="00323564">
          <w:rPr>
            <w:rFonts w:ascii="Calibri" w:eastAsia="Times New Roman" w:hAnsi="Calibri" w:cs="Calibri"/>
            <w:color w:val="0563C1"/>
            <w:u w:val="single"/>
            <w:lang w:eastAsia="fr-FR"/>
          </w:rPr>
          <w:t>https://forms.gle/5AodMrZjLnVpU4177</w:t>
        </w:r>
      </w:hyperlink>
    </w:p>
    <w:p w14:paraId="1770D060" w14:textId="77777777" w:rsidR="00323564" w:rsidRPr="00323564" w:rsidRDefault="00323564" w:rsidP="00323564">
      <w:pPr>
        <w:spacing w:after="0" w:line="240" w:lineRule="auto"/>
        <w:ind w:left="1068"/>
        <w:rPr>
          <w:rFonts w:ascii="Calibri" w:eastAsia="Times New Roman" w:hAnsi="Calibri" w:cs="Calibri"/>
          <w:b/>
          <w:bCs/>
          <w:color w:val="000000"/>
          <w:lang w:eastAsia="fr-FR"/>
        </w:rPr>
      </w:pPr>
    </w:p>
    <w:p w14:paraId="5DF6BD6D" w14:textId="77777777" w:rsidR="00323564" w:rsidRPr="00323564" w:rsidRDefault="00323564" w:rsidP="00323564">
      <w:pPr>
        <w:spacing w:after="0" w:line="240" w:lineRule="auto"/>
        <w:rPr>
          <w:rFonts w:ascii="Calibri" w:eastAsia="Times New Roman" w:hAnsi="Calibri" w:cs="Times New Roman"/>
        </w:rPr>
      </w:pPr>
    </w:p>
    <w:p w14:paraId="08A9D9AD" w14:textId="1705FF41" w:rsidR="006C3A6E" w:rsidRDefault="006C3A6E" w:rsidP="00AD5ABE">
      <w:pPr>
        <w:spacing w:after="0" w:line="240" w:lineRule="auto"/>
        <w:jc w:val="center"/>
        <w:rPr>
          <w:rFonts w:ascii="Calibri" w:eastAsia="Times New Roman" w:hAnsi="Calibri" w:cs="Calibri"/>
          <w:b/>
          <w:bCs/>
          <w:i/>
          <w:iCs/>
          <w:color w:val="538135" w:themeColor="accent6" w:themeShade="BF"/>
          <w:sz w:val="28"/>
          <w:szCs w:val="28"/>
        </w:rPr>
      </w:pPr>
      <w:r w:rsidRPr="00AD5ABE">
        <w:rPr>
          <w:rFonts w:ascii="Calibri" w:eastAsia="Times New Roman" w:hAnsi="Calibri" w:cs="Calibri"/>
          <w:b/>
          <w:bCs/>
          <w:i/>
          <w:iCs/>
          <w:color w:val="538135" w:themeColor="accent6" w:themeShade="BF"/>
          <w:sz w:val="28"/>
          <w:szCs w:val="28"/>
        </w:rPr>
        <w:t>Rappels </w:t>
      </w:r>
    </w:p>
    <w:p w14:paraId="5C1E1762" w14:textId="77777777" w:rsidR="00AD5ABE" w:rsidRPr="00AD5ABE" w:rsidRDefault="00AD5ABE" w:rsidP="00AD5ABE">
      <w:pPr>
        <w:spacing w:after="0" w:line="240" w:lineRule="auto"/>
        <w:jc w:val="center"/>
        <w:rPr>
          <w:rFonts w:ascii="Calibri" w:eastAsia="Times New Roman" w:hAnsi="Calibri" w:cs="Calibri"/>
          <w:b/>
          <w:bCs/>
          <w:i/>
          <w:iCs/>
          <w:color w:val="538135" w:themeColor="accent6" w:themeShade="BF"/>
          <w:sz w:val="28"/>
          <w:szCs w:val="28"/>
        </w:rPr>
      </w:pPr>
    </w:p>
    <w:p w14:paraId="3E574C0D" w14:textId="77777777" w:rsidR="006C3A6E" w:rsidRPr="006C3A6E" w:rsidRDefault="006C3A6E" w:rsidP="006C3A6E">
      <w:pPr>
        <w:spacing w:after="0" w:line="240" w:lineRule="auto"/>
        <w:ind w:left="720"/>
        <w:rPr>
          <w:rFonts w:ascii="Calibri" w:eastAsia="Times New Roman" w:hAnsi="Calibri" w:cs="Calibri"/>
        </w:rPr>
      </w:pPr>
    </w:p>
    <w:p w14:paraId="7CCE1C41" w14:textId="77777777" w:rsidR="00CF5CBC" w:rsidRPr="00CF5CBC" w:rsidRDefault="006C3A6E" w:rsidP="006C3A6E">
      <w:pPr>
        <w:numPr>
          <w:ilvl w:val="0"/>
          <w:numId w:val="1"/>
        </w:numPr>
        <w:spacing w:after="0" w:line="240" w:lineRule="auto"/>
        <w:rPr>
          <w:rFonts w:ascii="Calibri" w:eastAsia="Times New Roman" w:hAnsi="Calibri" w:cs="Calibri"/>
        </w:rPr>
      </w:pPr>
      <w:r w:rsidRPr="006C3A6E">
        <w:rPr>
          <w:rFonts w:ascii="Calibri" w:eastAsia="Times New Roman" w:hAnsi="Calibri" w:cs="Calibri"/>
          <w:b/>
          <w:bCs/>
          <w:color w:val="FF0000"/>
        </w:rPr>
        <w:t>Attention </w:t>
      </w:r>
      <w:r w:rsidRPr="006C3A6E">
        <w:rPr>
          <w:rFonts w:ascii="Calibri" w:eastAsia="Times New Roman" w:hAnsi="Calibri" w:cs="Calibri"/>
          <w:b/>
          <w:bCs/>
        </w:rPr>
        <w:t>!</w:t>
      </w:r>
    </w:p>
    <w:p w14:paraId="360D6B69" w14:textId="39FD7211" w:rsidR="006C3A6E" w:rsidRPr="006C3A6E" w:rsidRDefault="006C3A6E" w:rsidP="00CF5CBC">
      <w:pPr>
        <w:spacing w:after="0" w:line="240" w:lineRule="auto"/>
        <w:ind w:left="720"/>
        <w:rPr>
          <w:rFonts w:ascii="Calibri" w:eastAsia="Times New Roman" w:hAnsi="Calibri" w:cs="Calibri"/>
        </w:rPr>
      </w:pPr>
      <w:r w:rsidRPr="006C3A6E">
        <w:rPr>
          <w:rFonts w:ascii="Calibri" w:eastAsia="Times New Roman" w:hAnsi="Calibri" w:cs="Calibri"/>
          <w:b/>
          <w:bCs/>
        </w:rPr>
        <w:t xml:space="preserve"> </w:t>
      </w:r>
      <w:r w:rsidRPr="006C3A6E">
        <w:rPr>
          <w:rFonts w:ascii="Calibri" w:eastAsia="Times New Roman" w:hAnsi="Calibri" w:cs="Calibri"/>
        </w:rPr>
        <w:t>Depuis quelques mois, des employeurs publics assujettis à l’obligation d’emploi des travailleurs handicapés ont été démarchés par des individus prétendument commerciaux de structures du secteur protégé (entreprises adaptées et</w:t>
      </w:r>
      <w:r w:rsidR="007B0092">
        <w:rPr>
          <w:rFonts w:ascii="Calibri" w:eastAsia="Times New Roman" w:hAnsi="Calibri" w:cs="Calibri"/>
        </w:rPr>
        <w:t xml:space="preserve"> ESAT</w:t>
      </w:r>
      <w:r w:rsidRPr="006C3A6E">
        <w:rPr>
          <w:rFonts w:ascii="Calibri" w:eastAsia="Times New Roman" w:hAnsi="Calibri" w:cs="Calibri"/>
        </w:rPr>
        <w:t>).</w:t>
      </w:r>
    </w:p>
    <w:p w14:paraId="3BDE6912" w14:textId="77777777" w:rsidR="006C3A6E" w:rsidRPr="006C3A6E" w:rsidRDefault="006C3A6E" w:rsidP="006C3A6E">
      <w:pPr>
        <w:spacing w:after="0" w:line="240" w:lineRule="auto"/>
        <w:ind w:left="708"/>
        <w:rPr>
          <w:rFonts w:ascii="Calibri" w:eastAsia="Times New Roman" w:hAnsi="Calibri" w:cs="Calibri"/>
        </w:rPr>
      </w:pPr>
      <w:r w:rsidRPr="006C3A6E">
        <w:rPr>
          <w:rFonts w:ascii="Calibri" w:eastAsia="Times New Roman" w:hAnsi="Calibri" w:cs="Calibri"/>
        </w:rPr>
        <w:t>Ces individus contactent les employeurs par téléphone pour les inciter à passer au plus vite des commandes de fournitures diverses avec des structures du secteur protégé afin de limiter leur contribution. Ces personnes tiendront des propos inexacts notamment sur le montant de la contribution à verser et sur les modes de calcul de l’obligation d’emploi. Vous risquez donc d’être victime d’une escroquerie et de devoir régler l’intégralité de votre contribution au FIPHFP.</w:t>
      </w:r>
    </w:p>
    <w:p w14:paraId="31EC2263" w14:textId="77777777" w:rsidR="007B0092" w:rsidRDefault="006C3A6E" w:rsidP="006C3A6E">
      <w:pPr>
        <w:spacing w:after="0" w:line="240" w:lineRule="auto"/>
        <w:ind w:left="360" w:firstLine="348"/>
        <w:rPr>
          <w:rFonts w:ascii="Calibri" w:eastAsia="Times New Roman" w:hAnsi="Calibri" w:cs="Calibri"/>
        </w:rPr>
      </w:pPr>
      <w:r w:rsidRPr="006C3A6E">
        <w:rPr>
          <w:rFonts w:ascii="Calibri" w:eastAsia="Times New Roman" w:hAnsi="Calibri" w:cs="Calibri"/>
        </w:rPr>
        <w:t>Si vous êtes confrontés à ce type de situation, nous vous recommandons la plus grande vigilance</w:t>
      </w:r>
      <w:r w:rsidR="007B0092">
        <w:rPr>
          <w:rFonts w:ascii="Calibri" w:eastAsia="Times New Roman" w:hAnsi="Calibri" w:cs="Calibri"/>
        </w:rPr>
        <w:t xml:space="preserve">, </w:t>
      </w:r>
    </w:p>
    <w:p w14:paraId="5E71ADC8" w14:textId="51C9486B" w:rsidR="006C3A6E" w:rsidRPr="006C3A6E" w:rsidRDefault="006C3A6E" w:rsidP="006C3A6E">
      <w:pPr>
        <w:spacing w:after="0" w:line="240" w:lineRule="auto"/>
        <w:ind w:left="360" w:firstLine="348"/>
        <w:rPr>
          <w:rFonts w:ascii="Calibri" w:eastAsia="Times New Roman" w:hAnsi="Calibri" w:cs="Calibri"/>
          <w:i/>
          <w:iCs/>
          <w:color w:val="70AD47"/>
          <w:sz w:val="18"/>
          <w:szCs w:val="18"/>
        </w:rPr>
      </w:pPr>
      <w:r w:rsidRPr="006C3A6E">
        <w:rPr>
          <w:rFonts w:ascii="Calibri" w:eastAsia="Times New Roman" w:hAnsi="Calibri" w:cs="Calibri"/>
        </w:rPr>
        <w:t xml:space="preserve"> </w:t>
      </w:r>
      <w:proofErr w:type="gramStart"/>
      <w:r w:rsidRPr="006C3A6E">
        <w:rPr>
          <w:rFonts w:ascii="Calibri" w:eastAsia="Times New Roman" w:hAnsi="Calibri" w:cs="Calibri"/>
        </w:rPr>
        <w:t>prendre</w:t>
      </w:r>
      <w:proofErr w:type="gramEnd"/>
      <w:r w:rsidRPr="006C3A6E">
        <w:rPr>
          <w:rFonts w:ascii="Calibri" w:eastAsia="Times New Roman" w:hAnsi="Calibri" w:cs="Calibri"/>
        </w:rPr>
        <w:t xml:space="preserve"> contact par mail à l’adresse suivante : </w:t>
      </w:r>
      <w:hyperlink r:id="rId10" w:history="1">
        <w:r w:rsidRPr="006C3A6E">
          <w:rPr>
            <w:rFonts w:ascii="Calibri" w:eastAsia="Times New Roman" w:hAnsi="Calibri" w:cs="Calibri"/>
            <w:i/>
            <w:iCs/>
            <w:color w:val="0563C1"/>
            <w:sz w:val="18"/>
            <w:szCs w:val="18"/>
            <w:u w:val="single"/>
          </w:rPr>
          <w:t>DPS-FIPHFP-Recouvrement@caissedesdepots.fr</w:t>
        </w:r>
      </w:hyperlink>
      <w:r w:rsidRPr="006C3A6E">
        <w:rPr>
          <w:rFonts w:ascii="Calibri" w:eastAsia="Times New Roman" w:hAnsi="Calibri" w:cs="Calibri"/>
          <w:i/>
          <w:iCs/>
          <w:color w:val="70AD47"/>
          <w:sz w:val="18"/>
          <w:szCs w:val="18"/>
        </w:rPr>
        <w:t>.</w:t>
      </w:r>
    </w:p>
    <w:p w14:paraId="4A24AE1E" w14:textId="2E372A12" w:rsidR="006C3A6E" w:rsidRPr="007B0092" w:rsidRDefault="006C3A6E" w:rsidP="006C3A6E">
      <w:pPr>
        <w:numPr>
          <w:ilvl w:val="1"/>
          <w:numId w:val="1"/>
        </w:numPr>
        <w:spacing w:after="0" w:line="240" w:lineRule="auto"/>
        <w:rPr>
          <w:rFonts w:ascii="Calibri" w:eastAsia="Times New Roman" w:hAnsi="Calibri" w:cs="Calibri"/>
          <w:i/>
          <w:iCs/>
          <w:color w:val="70AD47"/>
          <w:sz w:val="20"/>
          <w:szCs w:val="20"/>
        </w:rPr>
      </w:pPr>
      <w:r w:rsidRPr="007B0092">
        <w:rPr>
          <w:rFonts w:ascii="Calibri" w:eastAsia="Times New Roman" w:hAnsi="Calibri" w:cs="Calibri"/>
          <w:i/>
          <w:iCs/>
          <w:color w:val="70AD47"/>
          <w:sz w:val="20"/>
          <w:szCs w:val="20"/>
        </w:rPr>
        <w:t xml:space="preserve">Plusieurs témoignages </w:t>
      </w:r>
      <w:r w:rsidR="007B0092" w:rsidRPr="007B0092">
        <w:rPr>
          <w:rFonts w:ascii="Calibri" w:eastAsia="Times New Roman" w:hAnsi="Calibri" w:cs="Calibri"/>
          <w:i/>
          <w:iCs/>
          <w:color w:val="70AD47"/>
          <w:sz w:val="20"/>
          <w:szCs w:val="20"/>
        </w:rPr>
        <w:t xml:space="preserve">confirment cette alerte </w:t>
      </w:r>
      <w:r w:rsidRPr="007B0092">
        <w:rPr>
          <w:rFonts w:ascii="Calibri" w:eastAsia="Times New Roman" w:hAnsi="Calibri" w:cs="Calibri"/>
          <w:i/>
          <w:iCs/>
          <w:color w:val="70AD47"/>
          <w:sz w:val="20"/>
          <w:szCs w:val="20"/>
        </w:rPr>
        <w:t>sur la Nouvelle Aquitaine tout récemment</w:t>
      </w:r>
    </w:p>
    <w:p w14:paraId="7C389447" w14:textId="77777777" w:rsidR="006C3A6E" w:rsidRPr="006C3A6E" w:rsidRDefault="006C3A6E" w:rsidP="006C3A6E">
      <w:pPr>
        <w:spacing w:after="0" w:line="240" w:lineRule="auto"/>
        <w:rPr>
          <w:rFonts w:ascii="Calibri" w:eastAsia="Times New Roman" w:hAnsi="Calibri" w:cs="Calibri"/>
        </w:rPr>
      </w:pPr>
    </w:p>
    <w:p w14:paraId="219D70C4" w14:textId="77777777" w:rsidR="006C3A6E" w:rsidRPr="006C3A6E" w:rsidRDefault="006C3A6E" w:rsidP="006C3A6E">
      <w:pPr>
        <w:spacing w:after="0" w:line="240" w:lineRule="auto"/>
        <w:rPr>
          <w:rFonts w:ascii="Calibri" w:eastAsia="Times New Roman" w:hAnsi="Calibri" w:cs="Calibri"/>
        </w:rPr>
      </w:pPr>
    </w:p>
    <w:p w14:paraId="60585920" w14:textId="0A1EEBFE" w:rsidR="001306C0" w:rsidRDefault="001306C0"/>
    <w:p w14:paraId="4DD50CCA" w14:textId="3A682F0F" w:rsidR="00EB336B" w:rsidRPr="00EB336B" w:rsidRDefault="00CF5CBC" w:rsidP="00EB336B">
      <w:pPr>
        <w:jc w:val="center"/>
        <w:rPr>
          <w:b/>
          <w:bCs/>
          <w:i/>
          <w:iCs/>
          <w:color w:val="538135" w:themeColor="accent6" w:themeShade="BF"/>
        </w:rPr>
      </w:pPr>
      <w:r w:rsidRPr="00EB336B">
        <w:rPr>
          <w:b/>
          <w:bCs/>
          <w:i/>
          <w:iCs/>
          <w:color w:val="538135" w:themeColor="accent6" w:themeShade="BF"/>
        </w:rPr>
        <w:t>Pour retrouver l’ensemble des informations et outils mis à votre disposition par la référente handicap mutualisée suivez ce lien :</w:t>
      </w:r>
    </w:p>
    <w:p w14:paraId="5F5024D8" w14:textId="19C5A59D" w:rsidR="00CF5CBC" w:rsidRPr="00EB336B" w:rsidRDefault="00EB336B" w:rsidP="00EB336B">
      <w:pPr>
        <w:jc w:val="center"/>
        <w:rPr>
          <w:sz w:val="16"/>
          <w:szCs w:val="16"/>
        </w:rPr>
      </w:pPr>
      <w:hyperlink r:id="rId11" w:history="1">
        <w:r w:rsidRPr="00EB336B">
          <w:rPr>
            <w:rStyle w:val="Lienhypertexte"/>
            <w:sz w:val="16"/>
            <w:szCs w:val="16"/>
          </w:rPr>
          <w:t>https://www.fhf.fr/en-regions/nouvelle-aquitaine/nos-actualites/fiphfp-presentation-du-referent-handicap-mutualise-nouvelle-aquitaine</w:t>
        </w:r>
      </w:hyperlink>
    </w:p>
    <w:p w14:paraId="21D4A3E1" w14:textId="77777777" w:rsidR="00EB336B" w:rsidRDefault="00EB336B"/>
    <w:p w14:paraId="2F4866BC" w14:textId="079A05D4" w:rsidR="00CF5CBC" w:rsidRDefault="00CF5CBC"/>
    <w:p w14:paraId="0A50311B" w14:textId="77777777" w:rsidR="00CF5CBC" w:rsidRDefault="00CF5CBC"/>
    <w:sectPr w:rsidR="00CF5CBC" w:rsidSect="007F406C">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6" type="#_x0000_t75" style="width:11.25pt;height:11.25pt" o:bullet="t">
        <v:imagedata r:id="rId1" o:title=""/>
      </v:shape>
    </w:pict>
  </w:numPicBullet>
  <w:numPicBullet w:numPicBulletId="1">
    <w:pict>
      <v:shape id="_x0000_i1487" type="#_x0000_t75" style="width:11.25pt;height:11.25pt" o:bullet="t">
        <v:imagedata r:id="rId2" o:title="msoAA07"/>
      </v:shape>
    </w:pict>
  </w:numPicBullet>
  <w:abstractNum w:abstractNumId="0" w15:restartNumberingAfterBreak="0">
    <w:nsid w:val="076E3A0D"/>
    <w:multiLevelType w:val="hybridMultilevel"/>
    <w:tmpl w:val="9B6607D4"/>
    <w:lvl w:ilvl="0" w:tplc="2F84406A">
      <w:numFmt w:val="bullet"/>
      <w:lvlText w:val=""/>
      <w:lvlJc w:val="left"/>
      <w:pPr>
        <w:ind w:left="1068" w:hanging="360"/>
      </w:pPr>
      <w:rPr>
        <w:rFonts w:ascii="Wingdings" w:eastAsia="Times New Roman"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CA136D8"/>
    <w:multiLevelType w:val="hybridMultilevel"/>
    <w:tmpl w:val="D9D69380"/>
    <w:lvl w:ilvl="0" w:tplc="040C0007">
      <w:start w:val="1"/>
      <w:numFmt w:val="bullet"/>
      <w:lvlText w:val=""/>
      <w:lvlPicBulletId w:val="1"/>
      <w:lvlJc w:val="left"/>
      <w:pPr>
        <w:ind w:left="720" w:hanging="360"/>
      </w:pPr>
      <w:rPr>
        <w:rFonts w:ascii="Symbol" w:hAnsi="Symbol" w:hint="default"/>
      </w:rPr>
    </w:lvl>
    <w:lvl w:ilvl="1" w:tplc="1FD80406">
      <w:numFmt w:val="bullet"/>
      <w:lvlText w:val=""/>
      <w:lvlJc w:val="left"/>
      <w:pPr>
        <w:ind w:left="1440" w:hanging="360"/>
      </w:pPr>
      <w:rPr>
        <w:rFonts w:ascii="Wingdings" w:eastAsia="Times New Roman"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04D0EB7"/>
    <w:multiLevelType w:val="hybridMultilevel"/>
    <w:tmpl w:val="8A229D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6072189"/>
    <w:multiLevelType w:val="hybridMultilevel"/>
    <w:tmpl w:val="8E16482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0A7DD7"/>
    <w:multiLevelType w:val="hybridMultilevel"/>
    <w:tmpl w:val="D376DE2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5" w15:restartNumberingAfterBreak="0">
    <w:nsid w:val="2BFD3EB3"/>
    <w:multiLevelType w:val="hybridMultilevel"/>
    <w:tmpl w:val="0E8A122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AA43E9"/>
    <w:multiLevelType w:val="hybridMultilevel"/>
    <w:tmpl w:val="0AA830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371F5603"/>
    <w:multiLevelType w:val="hybridMultilevel"/>
    <w:tmpl w:val="243462BE"/>
    <w:lvl w:ilvl="0" w:tplc="040C0007">
      <w:start w:val="1"/>
      <w:numFmt w:val="bullet"/>
      <w:lvlText w:val=""/>
      <w:lvlPicBulletId w:val="0"/>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2A620A"/>
    <w:multiLevelType w:val="hybridMultilevel"/>
    <w:tmpl w:val="DB4C7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8B01849"/>
    <w:multiLevelType w:val="hybridMultilevel"/>
    <w:tmpl w:val="D5CEDC74"/>
    <w:lvl w:ilvl="0" w:tplc="0B8AFE5C">
      <w:numFmt w:val="bullet"/>
      <w:lvlText w:val=""/>
      <w:lvlJc w:val="left"/>
      <w:pPr>
        <w:ind w:left="1068" w:hanging="360"/>
      </w:pPr>
      <w:rPr>
        <w:rFonts w:ascii="Wingdings" w:eastAsia="Times New Roman"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0" w15:restartNumberingAfterBreak="0">
    <w:nsid w:val="61FC5083"/>
    <w:multiLevelType w:val="hybridMultilevel"/>
    <w:tmpl w:val="F0EE6B5C"/>
    <w:lvl w:ilvl="0" w:tplc="040C000D">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65C91081"/>
    <w:multiLevelType w:val="hybridMultilevel"/>
    <w:tmpl w:val="D1FA07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8"/>
  </w:num>
  <w:num w:numId="5">
    <w:abstractNumId w:val="5"/>
  </w:num>
  <w:num w:numId="6">
    <w:abstractNumId w:val="7"/>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7"/>
  </w:num>
  <w:num w:numId="9">
    <w:abstractNumId w:val="6"/>
  </w:num>
  <w:num w:numId="10">
    <w:abstractNumId w:val="11"/>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6E"/>
    <w:rsid w:val="001306C0"/>
    <w:rsid w:val="001670DE"/>
    <w:rsid w:val="002B2B14"/>
    <w:rsid w:val="0030248F"/>
    <w:rsid w:val="00323564"/>
    <w:rsid w:val="003779BD"/>
    <w:rsid w:val="006C3A6E"/>
    <w:rsid w:val="007B0092"/>
    <w:rsid w:val="007C036F"/>
    <w:rsid w:val="00AD5ABE"/>
    <w:rsid w:val="00BD43BE"/>
    <w:rsid w:val="00BE7BCE"/>
    <w:rsid w:val="00CA49EC"/>
    <w:rsid w:val="00CF5CBC"/>
    <w:rsid w:val="00EB3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3DD1"/>
  <w15:chartTrackingRefBased/>
  <w15:docId w15:val="{BF26A120-F20A-48BA-9F5C-DA76B19E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79BD"/>
    <w:pPr>
      <w:ind w:left="720"/>
      <w:contextualSpacing/>
    </w:pPr>
  </w:style>
  <w:style w:type="paragraph" w:customStyle="1" w:styleId="chapo">
    <w:name w:val="chapo"/>
    <w:basedOn w:val="Normal"/>
    <w:rsid w:val="00CA49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A49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336B"/>
    <w:rPr>
      <w:color w:val="0563C1" w:themeColor="hyperlink"/>
      <w:u w:val="single"/>
    </w:rPr>
  </w:style>
  <w:style w:type="character" w:styleId="Mentionnonrsolue">
    <w:name w:val="Unresolved Mention"/>
    <w:basedOn w:val="Policepardfaut"/>
    <w:uiPriority w:val="99"/>
    <w:semiHidden/>
    <w:unhideWhenUsed/>
    <w:rsid w:val="00EB3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66995">
      <w:bodyDiv w:val="1"/>
      <w:marLeft w:val="0"/>
      <w:marRight w:val="0"/>
      <w:marTop w:val="0"/>
      <w:marBottom w:val="0"/>
      <w:divBdr>
        <w:top w:val="none" w:sz="0" w:space="0" w:color="auto"/>
        <w:left w:val="none" w:sz="0" w:space="0" w:color="auto"/>
        <w:bottom w:val="none" w:sz="0" w:space="0" w:color="auto"/>
        <w:right w:val="none" w:sz="0" w:space="0" w:color="auto"/>
      </w:divBdr>
      <w:divsChild>
        <w:div w:id="1226839826">
          <w:marLeft w:val="0"/>
          <w:marRight w:val="0"/>
          <w:marTop w:val="0"/>
          <w:marBottom w:val="0"/>
          <w:divBdr>
            <w:top w:val="none" w:sz="0" w:space="0" w:color="auto"/>
            <w:left w:val="none" w:sz="0" w:space="0" w:color="auto"/>
            <w:bottom w:val="none" w:sz="0" w:space="0" w:color="auto"/>
            <w:right w:val="none" w:sz="0" w:space="0" w:color="auto"/>
          </w:divBdr>
        </w:div>
        <w:div w:id="1750274850">
          <w:marLeft w:val="0"/>
          <w:marRight w:val="0"/>
          <w:marTop w:val="0"/>
          <w:marBottom w:val="0"/>
          <w:divBdr>
            <w:top w:val="none" w:sz="0" w:space="0" w:color="auto"/>
            <w:left w:val="none" w:sz="0" w:space="0" w:color="auto"/>
            <w:bottom w:val="none" w:sz="0" w:space="0" w:color="auto"/>
            <w:right w:val="none" w:sz="0" w:space="0" w:color="auto"/>
          </w:divBdr>
          <w:divsChild>
            <w:div w:id="6776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82icl.r.a.d.sendibm1.com/mk/cl/f/sh/1t6Af4OiGsDg0fWGHU29xVuCp77rEa/xftccDSMoa6A" TargetMode="External"/><Relationship Id="rId11" Type="http://schemas.openxmlformats.org/officeDocument/2006/relationships/hyperlink" Target="https://www.fhf.fr/en-regions/nouvelle-aquitaine/nos-actualites/fiphfp-presentation-du-referent-handicap-mutualise-nouvelle-aquitaine" TargetMode="External"/><Relationship Id="rId5" Type="http://schemas.openxmlformats.org/officeDocument/2006/relationships/hyperlink" Target="https://www.fiphfp.fr/employeurs/nos-aides-financieres/catalogue-des-interventions/formation-destinee-a-compenser-le-handicap" TargetMode="External"/><Relationship Id="rId10" Type="http://schemas.openxmlformats.org/officeDocument/2006/relationships/hyperlink" Target="mailto:DPS-FIPHFP-Recouvrement@caissedesdepots.fr" TargetMode="External"/><Relationship Id="rId4" Type="http://schemas.openxmlformats.org/officeDocument/2006/relationships/webSettings" Target="webSettings.xml"/><Relationship Id="rId9" Type="http://schemas.openxmlformats.org/officeDocument/2006/relationships/hyperlink" Target="https://forms.gle/5AodMrZjLnVpU417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741</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DOUMECHE Magali</dc:creator>
  <cp:keywords/>
  <dc:description/>
  <cp:lastModifiedBy>DOUMECHE Magali</cp:lastModifiedBy>
  <cp:revision>5</cp:revision>
  <dcterms:created xsi:type="dcterms:W3CDTF">2024-04-09T06:49:00Z</dcterms:created>
  <dcterms:modified xsi:type="dcterms:W3CDTF">2024-04-09T07:49:00Z</dcterms:modified>
</cp:coreProperties>
</file>